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D7" w:rsidRPr="009E4036" w:rsidRDefault="00991394" w:rsidP="009E4036">
      <w:pPr>
        <w:pStyle w:val="Heading1"/>
        <w:jc w:val="center"/>
      </w:pPr>
      <w:bookmarkStart w:id="0" w:name="_GoBack"/>
      <w:bookmarkEnd w:id="0"/>
      <w:r w:rsidRPr="009E4036">
        <w:t>South Australian Government Expenditure</w:t>
      </w:r>
    </w:p>
    <w:p w:rsidR="00991394" w:rsidRPr="009E4036" w:rsidRDefault="00991394" w:rsidP="00991394">
      <w:pPr>
        <w:rPr>
          <w:sz w:val="22"/>
        </w:rPr>
      </w:pPr>
    </w:p>
    <w:p w:rsidR="00432322" w:rsidRPr="009E4036" w:rsidRDefault="00432322" w:rsidP="00991394">
      <w:pPr>
        <w:rPr>
          <w:sz w:val="22"/>
        </w:rPr>
      </w:pPr>
      <w:r w:rsidRPr="009E4036">
        <w:rPr>
          <w:sz w:val="22"/>
        </w:rPr>
        <w:t xml:space="preserve">State </w:t>
      </w:r>
      <w:r w:rsidR="00EC0596" w:rsidRPr="009E4036">
        <w:rPr>
          <w:sz w:val="22"/>
        </w:rPr>
        <w:t xml:space="preserve">taxes pay for a variety of government </w:t>
      </w:r>
      <w:r w:rsidRPr="009E4036">
        <w:rPr>
          <w:sz w:val="22"/>
        </w:rPr>
        <w:t xml:space="preserve">services and </w:t>
      </w:r>
      <w:r w:rsidR="00EC0596" w:rsidRPr="009E4036">
        <w:rPr>
          <w:sz w:val="22"/>
        </w:rPr>
        <w:t xml:space="preserve">public </w:t>
      </w:r>
      <w:r w:rsidRPr="009E4036">
        <w:rPr>
          <w:sz w:val="22"/>
        </w:rPr>
        <w:t>infrastructure</w:t>
      </w:r>
      <w:r w:rsidR="00EC0596" w:rsidRPr="009E4036">
        <w:rPr>
          <w:sz w:val="22"/>
        </w:rPr>
        <w:t xml:space="preserve"> that benefit all the community, but are particularly needed by vulnerable and disadvantaged people.</w:t>
      </w:r>
    </w:p>
    <w:p w:rsidR="00F0157D" w:rsidRPr="009E4036" w:rsidRDefault="00F0157D" w:rsidP="00991394">
      <w:pPr>
        <w:rPr>
          <w:sz w:val="22"/>
        </w:rPr>
      </w:pPr>
    </w:p>
    <w:p w:rsidR="00EC0596" w:rsidRPr="009E4036" w:rsidRDefault="00A93E86" w:rsidP="00A93E86">
      <w:pPr>
        <w:rPr>
          <w:sz w:val="22"/>
        </w:rPr>
      </w:pPr>
      <w:r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3890010" cy="3217545"/>
            <wp:effectExtent l="0" t="0" r="15240" b="20955"/>
            <wp:wrapTight wrapText="bothSides">
              <wp:wrapPolygon edited="0">
                <wp:start x="0" y="0"/>
                <wp:lineTo x="0" y="21613"/>
                <wp:lineTo x="21579" y="21613"/>
                <wp:lineTo x="21579" y="0"/>
                <wp:lineTo x="0" y="0"/>
              </wp:wrapPolygon>
            </wp:wrapTight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57D" w:rsidRPr="009E4036">
        <w:rPr>
          <w:sz w:val="22"/>
        </w:rPr>
        <w:t>In 2015-16, the South Australian government spent $18,272m on state government operations and capital expenditure.</w:t>
      </w:r>
    </w:p>
    <w:p w:rsidR="00E42C4E" w:rsidRPr="009E4036" w:rsidRDefault="00E42C4E" w:rsidP="00991394">
      <w:pPr>
        <w:rPr>
          <w:sz w:val="22"/>
        </w:rPr>
      </w:pPr>
    </w:p>
    <w:p w:rsidR="00A93E86" w:rsidRDefault="008451DA" w:rsidP="009E4036">
      <w:pPr>
        <w:rPr>
          <w:sz w:val="22"/>
        </w:rPr>
      </w:pPr>
      <w:r w:rsidRPr="009E4036">
        <w:rPr>
          <w:sz w:val="22"/>
        </w:rPr>
        <w:t xml:space="preserve">93% of </w:t>
      </w:r>
      <w:r w:rsidR="00AB6FDC">
        <w:rPr>
          <w:sz w:val="22"/>
        </w:rPr>
        <w:t>SA</w:t>
      </w:r>
      <w:r w:rsidRPr="009E4036">
        <w:rPr>
          <w:sz w:val="22"/>
        </w:rPr>
        <w:t xml:space="preserve"> government expenditure goes to c</w:t>
      </w:r>
      <w:r w:rsidR="00A93E86">
        <w:rPr>
          <w:sz w:val="22"/>
        </w:rPr>
        <w:t>urrent operational expenditure.</w:t>
      </w:r>
    </w:p>
    <w:p w:rsidR="00A93E86" w:rsidRDefault="00A93E86" w:rsidP="009E4036">
      <w:pPr>
        <w:rPr>
          <w:sz w:val="22"/>
        </w:rPr>
      </w:pPr>
    </w:p>
    <w:p w:rsidR="00A93E86" w:rsidRDefault="008451DA" w:rsidP="009E4036">
      <w:pPr>
        <w:rPr>
          <w:sz w:val="22"/>
        </w:rPr>
      </w:pPr>
      <w:r w:rsidRPr="009E4036">
        <w:rPr>
          <w:sz w:val="22"/>
        </w:rPr>
        <w:t>7% goes to capital expenditure.</w:t>
      </w:r>
      <w:r w:rsidR="00F0157D" w:rsidRPr="009E4036">
        <w:rPr>
          <w:sz w:val="22"/>
        </w:rPr>
        <w:t xml:space="preserve"> </w:t>
      </w:r>
    </w:p>
    <w:p w:rsidR="00A93E86" w:rsidRDefault="00A93E86" w:rsidP="009E4036">
      <w:pPr>
        <w:rPr>
          <w:sz w:val="22"/>
        </w:rPr>
      </w:pPr>
    </w:p>
    <w:p w:rsidR="00F0157D" w:rsidRPr="009E4036" w:rsidRDefault="00AB6FDC" w:rsidP="009E4036">
      <w:pPr>
        <w:rPr>
          <w:sz w:val="22"/>
          <w:lang w:eastAsia="en-AU"/>
        </w:rPr>
      </w:pPr>
      <w:r>
        <w:rPr>
          <w:sz w:val="22"/>
          <w:lang w:eastAsia="en-AU"/>
        </w:rPr>
        <w:t>A</w:t>
      </w:r>
      <w:r w:rsidR="00F0157D" w:rsidRPr="009E4036">
        <w:rPr>
          <w:sz w:val="22"/>
          <w:lang w:eastAsia="en-AU"/>
        </w:rPr>
        <w:t xml:space="preserve">bout half of all </w:t>
      </w:r>
      <w:r>
        <w:rPr>
          <w:sz w:val="22"/>
          <w:lang w:eastAsia="en-AU"/>
        </w:rPr>
        <w:t xml:space="preserve">general </w:t>
      </w:r>
      <w:r w:rsidR="00F0157D" w:rsidRPr="009E4036">
        <w:rPr>
          <w:sz w:val="22"/>
          <w:lang w:eastAsia="en-AU"/>
        </w:rPr>
        <w:t>operati</w:t>
      </w:r>
      <w:r>
        <w:rPr>
          <w:sz w:val="22"/>
          <w:lang w:eastAsia="en-AU"/>
        </w:rPr>
        <w:t>ng expenditure goes to wages, salaries and superannuation</w:t>
      </w:r>
      <w:r w:rsidR="00F0157D" w:rsidRPr="009E4036">
        <w:rPr>
          <w:sz w:val="22"/>
          <w:lang w:eastAsia="en-AU"/>
        </w:rPr>
        <w:t xml:space="preserve">. </w:t>
      </w:r>
    </w:p>
    <w:p w:rsidR="00AB6FDC" w:rsidRDefault="00AB6FDC" w:rsidP="00991394">
      <w:pPr>
        <w:rPr>
          <w:sz w:val="22"/>
        </w:rPr>
      </w:pPr>
    </w:p>
    <w:p w:rsidR="00A93E86" w:rsidRDefault="00A93E86" w:rsidP="00991394">
      <w:pPr>
        <w:rPr>
          <w:sz w:val="22"/>
        </w:rPr>
      </w:pPr>
    </w:p>
    <w:p w:rsidR="00945FCC" w:rsidRPr="009E4036" w:rsidRDefault="00945FCC" w:rsidP="00991394">
      <w:pPr>
        <w:rPr>
          <w:sz w:val="22"/>
        </w:rPr>
      </w:pPr>
    </w:p>
    <w:p w:rsidR="009E4036" w:rsidRPr="00A93E86" w:rsidRDefault="009E4036" w:rsidP="00A93E86">
      <w:pPr>
        <w:pStyle w:val="Heading3"/>
      </w:pPr>
      <w:r w:rsidRPr="00A93E86">
        <w:t>How does South Australian expenditure compare?</w:t>
      </w:r>
    </w:p>
    <w:p w:rsidR="005C6BD0" w:rsidRDefault="005C6BD0" w:rsidP="005C6BD0">
      <w:pPr>
        <w:rPr>
          <w:sz w:val="22"/>
          <w:lang w:eastAsia="en-AU"/>
        </w:rPr>
      </w:pPr>
      <w:r w:rsidRPr="009E4036">
        <w:rPr>
          <w:sz w:val="22"/>
          <w:lang w:eastAsia="en-AU"/>
        </w:rPr>
        <w:t>As a proportion of total government operation</w:t>
      </w:r>
      <w:r w:rsidR="008C309D" w:rsidRPr="009E4036">
        <w:rPr>
          <w:sz w:val="22"/>
          <w:lang w:eastAsia="en-AU"/>
        </w:rPr>
        <w:t xml:space="preserve">al expenditure, South Australia </w:t>
      </w:r>
      <w:r w:rsidRPr="009E4036">
        <w:rPr>
          <w:sz w:val="22"/>
          <w:lang w:eastAsia="en-AU"/>
        </w:rPr>
        <w:t>spends more than any other Australian state or territory on health</w:t>
      </w:r>
      <w:r w:rsidR="00AB6FDC">
        <w:rPr>
          <w:sz w:val="22"/>
          <w:lang w:eastAsia="en-AU"/>
        </w:rPr>
        <w:t>,</w:t>
      </w:r>
      <w:r w:rsidRPr="009E4036">
        <w:rPr>
          <w:sz w:val="22"/>
          <w:lang w:eastAsia="en-AU"/>
        </w:rPr>
        <w:t xml:space="preserve"> and above the national average in health, education, social services and housing and community amenities.</w:t>
      </w:r>
    </w:p>
    <w:p w:rsidR="00630023" w:rsidRDefault="00630023" w:rsidP="005C6BD0">
      <w:pPr>
        <w:rPr>
          <w:sz w:val="22"/>
          <w:lang w:eastAsia="en-AU"/>
        </w:rPr>
      </w:pPr>
    </w:p>
    <w:p w:rsidR="00945FCC" w:rsidRDefault="008C309D" w:rsidP="00A93E86">
      <w:pPr>
        <w:jc w:val="center"/>
        <w:rPr>
          <w:rFonts w:eastAsiaTheme="minorHAnsi"/>
          <w:b/>
          <w:bCs/>
          <w:color w:val="C22C4A"/>
          <w:sz w:val="28"/>
          <w:szCs w:val="28"/>
          <w:lang w:eastAsia="en-AU"/>
        </w:rPr>
      </w:pPr>
      <w:r w:rsidRPr="009E4036">
        <w:rPr>
          <w:noProof/>
          <w:sz w:val="22"/>
          <w:lang w:eastAsia="en-AU"/>
        </w:rPr>
        <w:drawing>
          <wp:inline distT="0" distB="0" distL="0" distR="0" wp14:anchorId="68D3E848" wp14:editId="2483039A">
            <wp:extent cx="4572000" cy="2279073"/>
            <wp:effectExtent l="0" t="0" r="0" b="698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89DB306-6EBC-4B9D-A984-E69DAF94569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945FCC">
        <w:br w:type="page"/>
      </w:r>
    </w:p>
    <w:p w:rsidR="003F393F" w:rsidRPr="003F393F" w:rsidRDefault="009E4036" w:rsidP="003F393F">
      <w:pPr>
        <w:pStyle w:val="Heading3"/>
      </w:pPr>
      <w:r w:rsidRPr="009E4036">
        <w:lastRenderedPageBreak/>
        <w:t>What do people want?</w:t>
      </w:r>
    </w:p>
    <w:p w:rsidR="002A366F" w:rsidRPr="009E4036" w:rsidRDefault="005C3B46" w:rsidP="00991394">
      <w:pPr>
        <w:rPr>
          <w:sz w:val="22"/>
        </w:rPr>
      </w:pPr>
      <w:r w:rsidRPr="009E4036">
        <w:rPr>
          <w:sz w:val="22"/>
        </w:rPr>
        <w:t>A SACOSS survey of 1,000 South Australians shows that</w:t>
      </w:r>
      <w:r w:rsidR="000820FD" w:rsidRPr="009E4036">
        <w:rPr>
          <w:sz w:val="22"/>
        </w:rPr>
        <w:t xml:space="preserve"> 68% </w:t>
      </w:r>
      <w:r w:rsidR="00ED0B56" w:rsidRPr="009E4036">
        <w:rPr>
          <w:sz w:val="22"/>
        </w:rPr>
        <w:t xml:space="preserve">of people </w:t>
      </w:r>
      <w:r w:rsidR="000820FD" w:rsidRPr="009E4036">
        <w:rPr>
          <w:sz w:val="22"/>
        </w:rPr>
        <w:t>want mo</w:t>
      </w:r>
      <w:r w:rsidR="00ED0B56" w:rsidRPr="009E4036">
        <w:rPr>
          <w:sz w:val="22"/>
        </w:rPr>
        <w:t>re spending overall on services, especially in health, education and community services.</w:t>
      </w:r>
    </w:p>
    <w:p w:rsidR="00ED0B56" w:rsidRPr="009E4036" w:rsidRDefault="00ED0B56" w:rsidP="00991394">
      <w:pPr>
        <w:rPr>
          <w:sz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61"/>
        <w:gridCol w:w="2179"/>
      </w:tblGrid>
      <w:tr w:rsidR="00ED0B56" w:rsidRPr="009E4036" w:rsidTr="00ED0B56">
        <w:trPr>
          <w:jc w:val="center"/>
        </w:trPr>
        <w:tc>
          <w:tcPr>
            <w:tcW w:w="3061" w:type="dxa"/>
          </w:tcPr>
          <w:p w:rsidR="00ED0B56" w:rsidRPr="009E4036" w:rsidRDefault="00ED0B56" w:rsidP="00ED0B56">
            <w:pPr>
              <w:rPr>
                <w:sz w:val="22"/>
              </w:rPr>
            </w:pPr>
          </w:p>
        </w:tc>
        <w:tc>
          <w:tcPr>
            <w:tcW w:w="2179" w:type="dxa"/>
          </w:tcPr>
          <w:p w:rsidR="00ED0B56" w:rsidRPr="009E4036" w:rsidRDefault="00ED0B56" w:rsidP="009E4036">
            <w:pPr>
              <w:jc w:val="center"/>
              <w:rPr>
                <w:sz w:val="22"/>
              </w:rPr>
            </w:pPr>
            <w:r w:rsidRPr="009E4036">
              <w:rPr>
                <w:sz w:val="22"/>
              </w:rPr>
              <w:t>Want more spending</w:t>
            </w:r>
            <w:r w:rsidR="009E4036" w:rsidRPr="009E4036">
              <w:rPr>
                <w:sz w:val="22"/>
              </w:rPr>
              <w:t xml:space="preserve"> in area</w:t>
            </w:r>
          </w:p>
          <w:p w:rsidR="00ED0B56" w:rsidRPr="009E4036" w:rsidRDefault="00ED0B56" w:rsidP="009E4036">
            <w:pPr>
              <w:jc w:val="center"/>
              <w:rPr>
                <w:sz w:val="22"/>
              </w:rPr>
            </w:pPr>
            <w:r w:rsidRPr="009E4036">
              <w:rPr>
                <w:sz w:val="22"/>
              </w:rPr>
              <w:t>% of respondents</w:t>
            </w:r>
          </w:p>
        </w:tc>
      </w:tr>
      <w:tr w:rsidR="00ED0B56" w:rsidRPr="009E4036" w:rsidTr="00ED0B56">
        <w:trPr>
          <w:jc w:val="center"/>
        </w:trPr>
        <w:tc>
          <w:tcPr>
            <w:tcW w:w="3061" w:type="dxa"/>
          </w:tcPr>
          <w:p w:rsidR="00ED0B56" w:rsidRPr="009E4036" w:rsidRDefault="00ED0B56" w:rsidP="00ED0B56">
            <w:pPr>
              <w:rPr>
                <w:sz w:val="22"/>
              </w:rPr>
            </w:pPr>
            <w:r w:rsidRPr="009E4036">
              <w:rPr>
                <w:sz w:val="22"/>
              </w:rPr>
              <w:t>Police and Justice</w:t>
            </w:r>
          </w:p>
        </w:tc>
        <w:tc>
          <w:tcPr>
            <w:tcW w:w="2179" w:type="dxa"/>
          </w:tcPr>
          <w:p w:rsidR="00ED0B56" w:rsidRPr="009E4036" w:rsidRDefault="00ED0B56" w:rsidP="009E4036">
            <w:pPr>
              <w:jc w:val="center"/>
              <w:rPr>
                <w:sz w:val="22"/>
              </w:rPr>
            </w:pPr>
            <w:r w:rsidRPr="009E4036">
              <w:rPr>
                <w:sz w:val="22"/>
              </w:rPr>
              <w:t>64</w:t>
            </w:r>
            <w:r w:rsidR="009E4036" w:rsidRPr="009E4036">
              <w:rPr>
                <w:sz w:val="22"/>
              </w:rPr>
              <w:t>%</w:t>
            </w:r>
          </w:p>
        </w:tc>
      </w:tr>
      <w:tr w:rsidR="00ED0B56" w:rsidRPr="009E4036" w:rsidTr="00ED0B56">
        <w:trPr>
          <w:jc w:val="center"/>
        </w:trPr>
        <w:tc>
          <w:tcPr>
            <w:tcW w:w="3061" w:type="dxa"/>
          </w:tcPr>
          <w:p w:rsidR="00ED0B56" w:rsidRPr="009E4036" w:rsidRDefault="00ED0B56" w:rsidP="00ED0B56">
            <w:pPr>
              <w:rPr>
                <w:sz w:val="22"/>
              </w:rPr>
            </w:pPr>
            <w:r w:rsidRPr="009E4036">
              <w:rPr>
                <w:sz w:val="22"/>
              </w:rPr>
              <w:t>Roads</w:t>
            </w:r>
          </w:p>
        </w:tc>
        <w:tc>
          <w:tcPr>
            <w:tcW w:w="2179" w:type="dxa"/>
          </w:tcPr>
          <w:p w:rsidR="00ED0B56" w:rsidRPr="009E4036" w:rsidRDefault="00ED0B56" w:rsidP="009E4036">
            <w:pPr>
              <w:jc w:val="center"/>
              <w:rPr>
                <w:sz w:val="22"/>
              </w:rPr>
            </w:pPr>
            <w:r w:rsidRPr="009E4036">
              <w:rPr>
                <w:sz w:val="22"/>
              </w:rPr>
              <w:t>65</w:t>
            </w:r>
            <w:r w:rsidR="009E4036" w:rsidRPr="009E4036">
              <w:rPr>
                <w:sz w:val="22"/>
              </w:rPr>
              <w:t>%</w:t>
            </w:r>
          </w:p>
        </w:tc>
      </w:tr>
      <w:tr w:rsidR="00ED0B56" w:rsidRPr="009E4036" w:rsidTr="00ED0B56">
        <w:trPr>
          <w:jc w:val="center"/>
        </w:trPr>
        <w:tc>
          <w:tcPr>
            <w:tcW w:w="3061" w:type="dxa"/>
          </w:tcPr>
          <w:p w:rsidR="00ED0B56" w:rsidRPr="009E4036" w:rsidRDefault="00ED0B56" w:rsidP="00ED0B56">
            <w:pPr>
              <w:rPr>
                <w:sz w:val="22"/>
              </w:rPr>
            </w:pPr>
            <w:r w:rsidRPr="009E4036">
              <w:rPr>
                <w:sz w:val="22"/>
              </w:rPr>
              <w:t>Public Transport</w:t>
            </w:r>
          </w:p>
        </w:tc>
        <w:tc>
          <w:tcPr>
            <w:tcW w:w="2179" w:type="dxa"/>
          </w:tcPr>
          <w:p w:rsidR="00ED0B56" w:rsidRPr="009E4036" w:rsidRDefault="00ED0B56" w:rsidP="009E4036">
            <w:pPr>
              <w:jc w:val="center"/>
              <w:rPr>
                <w:sz w:val="22"/>
              </w:rPr>
            </w:pPr>
            <w:r w:rsidRPr="009E4036">
              <w:rPr>
                <w:sz w:val="22"/>
              </w:rPr>
              <w:t>55</w:t>
            </w:r>
            <w:r w:rsidR="009E4036" w:rsidRPr="009E4036">
              <w:rPr>
                <w:sz w:val="22"/>
              </w:rPr>
              <w:t>%</w:t>
            </w:r>
          </w:p>
        </w:tc>
      </w:tr>
      <w:tr w:rsidR="00ED0B56" w:rsidRPr="009E4036" w:rsidTr="00ED0B56">
        <w:trPr>
          <w:jc w:val="center"/>
        </w:trPr>
        <w:tc>
          <w:tcPr>
            <w:tcW w:w="3061" w:type="dxa"/>
          </w:tcPr>
          <w:p w:rsidR="00ED0B56" w:rsidRPr="009E4036" w:rsidRDefault="00ED0B56" w:rsidP="00ED0B56">
            <w:pPr>
              <w:rPr>
                <w:sz w:val="22"/>
              </w:rPr>
            </w:pPr>
            <w:r w:rsidRPr="009E4036">
              <w:rPr>
                <w:sz w:val="22"/>
              </w:rPr>
              <w:t>Education</w:t>
            </w:r>
          </w:p>
        </w:tc>
        <w:tc>
          <w:tcPr>
            <w:tcW w:w="2179" w:type="dxa"/>
          </w:tcPr>
          <w:p w:rsidR="00ED0B56" w:rsidRPr="009E4036" w:rsidRDefault="00ED0B56" w:rsidP="009E4036">
            <w:pPr>
              <w:jc w:val="center"/>
              <w:rPr>
                <w:sz w:val="22"/>
              </w:rPr>
            </w:pPr>
            <w:r w:rsidRPr="009E4036">
              <w:rPr>
                <w:sz w:val="22"/>
              </w:rPr>
              <w:t>70</w:t>
            </w:r>
            <w:r w:rsidR="009E4036" w:rsidRPr="009E4036">
              <w:rPr>
                <w:sz w:val="22"/>
              </w:rPr>
              <w:t>%</w:t>
            </w:r>
          </w:p>
        </w:tc>
      </w:tr>
      <w:tr w:rsidR="00ED0B56" w:rsidRPr="009E4036" w:rsidTr="00ED0B56">
        <w:trPr>
          <w:jc w:val="center"/>
        </w:trPr>
        <w:tc>
          <w:tcPr>
            <w:tcW w:w="3061" w:type="dxa"/>
          </w:tcPr>
          <w:p w:rsidR="00ED0B56" w:rsidRPr="009E4036" w:rsidRDefault="00ED0B56" w:rsidP="00ED0B56">
            <w:pPr>
              <w:rPr>
                <w:sz w:val="22"/>
              </w:rPr>
            </w:pPr>
            <w:r w:rsidRPr="009E4036">
              <w:rPr>
                <w:sz w:val="22"/>
              </w:rPr>
              <w:t>Health</w:t>
            </w:r>
          </w:p>
        </w:tc>
        <w:tc>
          <w:tcPr>
            <w:tcW w:w="2179" w:type="dxa"/>
          </w:tcPr>
          <w:p w:rsidR="00ED0B56" w:rsidRPr="009E4036" w:rsidRDefault="00ED0B56" w:rsidP="009E4036">
            <w:pPr>
              <w:jc w:val="center"/>
              <w:rPr>
                <w:sz w:val="22"/>
              </w:rPr>
            </w:pPr>
            <w:r w:rsidRPr="009E4036">
              <w:rPr>
                <w:sz w:val="22"/>
              </w:rPr>
              <w:t>82</w:t>
            </w:r>
            <w:r w:rsidR="009E4036" w:rsidRPr="009E4036">
              <w:rPr>
                <w:sz w:val="22"/>
              </w:rPr>
              <w:t>%</w:t>
            </w:r>
          </w:p>
        </w:tc>
      </w:tr>
      <w:tr w:rsidR="00ED0B56" w:rsidRPr="009E4036" w:rsidTr="00ED0B56">
        <w:trPr>
          <w:jc w:val="center"/>
        </w:trPr>
        <w:tc>
          <w:tcPr>
            <w:tcW w:w="3061" w:type="dxa"/>
          </w:tcPr>
          <w:p w:rsidR="00ED0B56" w:rsidRPr="009E4036" w:rsidRDefault="00ED0B56" w:rsidP="00ED0B56">
            <w:pPr>
              <w:rPr>
                <w:sz w:val="22"/>
              </w:rPr>
            </w:pPr>
            <w:r w:rsidRPr="009E4036">
              <w:rPr>
                <w:sz w:val="22"/>
              </w:rPr>
              <w:t>Community Services</w:t>
            </w:r>
          </w:p>
        </w:tc>
        <w:tc>
          <w:tcPr>
            <w:tcW w:w="2179" w:type="dxa"/>
          </w:tcPr>
          <w:p w:rsidR="00ED0B56" w:rsidRPr="009E4036" w:rsidRDefault="00ED0B56" w:rsidP="009E4036">
            <w:pPr>
              <w:jc w:val="center"/>
              <w:rPr>
                <w:sz w:val="22"/>
              </w:rPr>
            </w:pPr>
            <w:r w:rsidRPr="009E4036">
              <w:rPr>
                <w:sz w:val="22"/>
              </w:rPr>
              <w:t>72</w:t>
            </w:r>
            <w:r w:rsidR="009E4036" w:rsidRPr="009E4036">
              <w:rPr>
                <w:sz w:val="22"/>
              </w:rPr>
              <w:t>%</w:t>
            </w:r>
          </w:p>
        </w:tc>
      </w:tr>
      <w:tr w:rsidR="00ED0B56" w:rsidRPr="009E4036" w:rsidTr="00ED0B56">
        <w:trPr>
          <w:jc w:val="center"/>
        </w:trPr>
        <w:tc>
          <w:tcPr>
            <w:tcW w:w="3061" w:type="dxa"/>
          </w:tcPr>
          <w:p w:rsidR="00ED0B56" w:rsidRPr="009E4036" w:rsidRDefault="00ED0B56" w:rsidP="00ED0B56">
            <w:pPr>
              <w:rPr>
                <w:sz w:val="22"/>
              </w:rPr>
            </w:pPr>
            <w:r w:rsidRPr="009E4036">
              <w:rPr>
                <w:sz w:val="22"/>
              </w:rPr>
              <w:t>Industry/Business Support</w:t>
            </w:r>
          </w:p>
        </w:tc>
        <w:tc>
          <w:tcPr>
            <w:tcW w:w="2179" w:type="dxa"/>
          </w:tcPr>
          <w:p w:rsidR="00ED0B56" w:rsidRPr="009E4036" w:rsidRDefault="00ED0B56" w:rsidP="009E4036">
            <w:pPr>
              <w:jc w:val="center"/>
              <w:rPr>
                <w:sz w:val="22"/>
              </w:rPr>
            </w:pPr>
            <w:r w:rsidRPr="009E4036">
              <w:rPr>
                <w:sz w:val="22"/>
              </w:rPr>
              <w:t>49</w:t>
            </w:r>
            <w:r w:rsidR="009E4036" w:rsidRPr="009E4036">
              <w:rPr>
                <w:sz w:val="22"/>
              </w:rPr>
              <w:t>%</w:t>
            </w:r>
          </w:p>
        </w:tc>
      </w:tr>
    </w:tbl>
    <w:p w:rsidR="00ED0B56" w:rsidRPr="009E4036" w:rsidRDefault="00ED0B56" w:rsidP="00991394">
      <w:pPr>
        <w:rPr>
          <w:sz w:val="22"/>
        </w:rPr>
      </w:pPr>
    </w:p>
    <w:p w:rsidR="002A3DD9" w:rsidRDefault="00ED0B56" w:rsidP="00991394">
      <w:pPr>
        <w:rPr>
          <w:sz w:val="22"/>
        </w:rPr>
      </w:pPr>
      <w:r w:rsidRPr="009E4036">
        <w:rPr>
          <w:sz w:val="22"/>
        </w:rPr>
        <w:t xml:space="preserve">But </w:t>
      </w:r>
      <w:r w:rsidR="00763416">
        <w:rPr>
          <w:sz w:val="22"/>
        </w:rPr>
        <w:t xml:space="preserve">total </w:t>
      </w:r>
      <w:r w:rsidRPr="009E4036">
        <w:rPr>
          <w:sz w:val="22"/>
        </w:rPr>
        <w:t>state government expenditure is forecast to decline in real terms in the coming years, and most people also want</w:t>
      </w:r>
      <w:r w:rsidR="000820FD" w:rsidRPr="009E4036">
        <w:rPr>
          <w:sz w:val="22"/>
        </w:rPr>
        <w:t xml:space="preserve"> lower</w:t>
      </w:r>
      <w:r w:rsidRPr="009E4036">
        <w:rPr>
          <w:sz w:val="22"/>
        </w:rPr>
        <w:t xml:space="preserve"> state</w:t>
      </w:r>
      <w:r w:rsidR="000820FD" w:rsidRPr="009E4036">
        <w:rPr>
          <w:sz w:val="22"/>
        </w:rPr>
        <w:t xml:space="preserve"> taxes.</w:t>
      </w:r>
      <w:r w:rsidRPr="009E4036">
        <w:rPr>
          <w:sz w:val="22"/>
        </w:rPr>
        <w:t xml:space="preserve"> </w:t>
      </w:r>
      <w:r w:rsidRPr="002A3DD9">
        <w:rPr>
          <w:b/>
          <w:sz w:val="22"/>
        </w:rPr>
        <w:t>This does not add up</w:t>
      </w:r>
      <w:r w:rsidR="002A3DD9" w:rsidRPr="002A3DD9">
        <w:rPr>
          <w:b/>
          <w:sz w:val="22"/>
        </w:rPr>
        <w:t>.</w:t>
      </w:r>
    </w:p>
    <w:p w:rsidR="002A3DD9" w:rsidRDefault="002A3DD9" w:rsidP="00991394">
      <w:pPr>
        <w:rPr>
          <w:sz w:val="22"/>
        </w:rPr>
      </w:pPr>
    </w:p>
    <w:p w:rsidR="002A3DD9" w:rsidRDefault="002A3DD9" w:rsidP="002A3DD9">
      <w:pPr>
        <w:pStyle w:val="Heading3"/>
      </w:pPr>
      <w:r>
        <w:t>Government Waste</w:t>
      </w:r>
    </w:p>
    <w:p w:rsidR="00ED0B56" w:rsidRDefault="002A3DD9" w:rsidP="00991394">
      <w:pPr>
        <w:rPr>
          <w:sz w:val="22"/>
        </w:rPr>
      </w:pPr>
      <w:r>
        <w:rPr>
          <w:sz w:val="22"/>
        </w:rPr>
        <w:t xml:space="preserve">The budget problem won’t simply be </w:t>
      </w:r>
      <w:r w:rsidR="00ED0B56" w:rsidRPr="009E4036">
        <w:rPr>
          <w:sz w:val="22"/>
        </w:rPr>
        <w:t>fixed by cutting wast</w:t>
      </w:r>
      <w:r>
        <w:rPr>
          <w:sz w:val="22"/>
        </w:rPr>
        <w:t>e:</w:t>
      </w:r>
    </w:p>
    <w:p w:rsidR="002A3DD9" w:rsidRDefault="00945FCC" w:rsidP="002A3DD9">
      <w:pPr>
        <w:pStyle w:val="ListParagraph"/>
        <w:numPr>
          <w:ilvl w:val="0"/>
          <w:numId w:val="1"/>
        </w:numPr>
        <w:rPr>
          <w:sz w:val="22"/>
        </w:rPr>
      </w:pPr>
      <w:r w:rsidRPr="002A3DD9">
        <w:rPr>
          <w:sz w:val="22"/>
        </w:rPr>
        <w:t xml:space="preserve">70% of the examples of waste cited </w:t>
      </w:r>
      <w:r w:rsidR="002A3DD9">
        <w:rPr>
          <w:sz w:val="22"/>
        </w:rPr>
        <w:t>in the SACOSS survey</w:t>
      </w:r>
      <w:r w:rsidRPr="002A3DD9">
        <w:rPr>
          <w:sz w:val="22"/>
        </w:rPr>
        <w:t xml:space="preserve"> were capital expenditures on big i</w:t>
      </w:r>
      <w:r w:rsidR="002A3DD9">
        <w:rPr>
          <w:sz w:val="22"/>
        </w:rPr>
        <w:t>nfrastructure projects – b</w:t>
      </w:r>
      <w:r w:rsidRPr="002A3DD9">
        <w:rPr>
          <w:sz w:val="22"/>
        </w:rPr>
        <w:t>ut infrastructure is often controversial in its planning and construction phase, and then welcomed when it is operational</w:t>
      </w:r>
      <w:r w:rsidR="002A3DD9">
        <w:rPr>
          <w:sz w:val="22"/>
        </w:rPr>
        <w:t>;</w:t>
      </w:r>
    </w:p>
    <w:p w:rsidR="00945FCC" w:rsidRDefault="00EA1514" w:rsidP="002A3DD9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P</w:t>
      </w:r>
      <w:r w:rsidR="00945FCC" w:rsidRPr="002A3DD9">
        <w:rPr>
          <w:sz w:val="22"/>
        </w:rPr>
        <w:t>rojects which were often cited as examples of waste, like the Adela</w:t>
      </w:r>
      <w:r>
        <w:rPr>
          <w:sz w:val="22"/>
        </w:rPr>
        <w:t>ide Oval revamp</w:t>
      </w:r>
      <w:r w:rsidR="00945FCC" w:rsidRPr="002A3DD9">
        <w:rPr>
          <w:sz w:val="22"/>
        </w:rPr>
        <w:t xml:space="preserve"> or the O’Bahn extension, constitute </w:t>
      </w:r>
      <w:r>
        <w:rPr>
          <w:sz w:val="22"/>
        </w:rPr>
        <w:t xml:space="preserve">only 0.7 and 0.3 </w:t>
      </w:r>
      <w:r w:rsidR="00A425AA">
        <w:rPr>
          <w:sz w:val="22"/>
        </w:rPr>
        <w:t>respectively</w:t>
      </w:r>
      <w:r w:rsidR="00A425AA" w:rsidRPr="002A3DD9">
        <w:rPr>
          <w:sz w:val="22"/>
        </w:rPr>
        <w:t xml:space="preserve"> </w:t>
      </w:r>
      <w:r w:rsidR="00945FCC" w:rsidRPr="002A3DD9">
        <w:rPr>
          <w:sz w:val="22"/>
        </w:rPr>
        <w:t>of state budget</w:t>
      </w:r>
      <w:r>
        <w:rPr>
          <w:sz w:val="22"/>
        </w:rPr>
        <w:t xml:space="preserve"> expenditure</w:t>
      </w:r>
      <w:r w:rsidR="002A3DD9">
        <w:rPr>
          <w:sz w:val="22"/>
        </w:rPr>
        <w:t>;</w:t>
      </w:r>
    </w:p>
    <w:p w:rsidR="002A3DD9" w:rsidRPr="002A3DD9" w:rsidRDefault="002A3DD9" w:rsidP="002A3DD9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P</w:t>
      </w:r>
      <w:r w:rsidRPr="002A3DD9">
        <w:rPr>
          <w:sz w:val="22"/>
        </w:rPr>
        <w:t xml:space="preserve">oliticians’ wages and entitlements may seem extraordinary, but the entire </w:t>
      </w:r>
      <w:r>
        <w:rPr>
          <w:sz w:val="22"/>
        </w:rPr>
        <w:t xml:space="preserve">state </w:t>
      </w:r>
      <w:r w:rsidRPr="002A3DD9">
        <w:rPr>
          <w:sz w:val="22"/>
        </w:rPr>
        <w:t>parliament – including MP wages, accounts for only 0.18%, or one fifth of one percent, of the state budget.</w:t>
      </w:r>
    </w:p>
    <w:p w:rsidR="002A3DD9" w:rsidRPr="002A3DD9" w:rsidRDefault="002A3DD9" w:rsidP="002A3DD9">
      <w:pPr>
        <w:rPr>
          <w:sz w:val="22"/>
        </w:rPr>
      </w:pPr>
    </w:p>
    <w:p w:rsidR="00945FCC" w:rsidRDefault="002A3DD9" w:rsidP="00991394">
      <w:pPr>
        <w:rPr>
          <w:sz w:val="22"/>
        </w:rPr>
      </w:pPr>
      <w:r>
        <w:rPr>
          <w:sz w:val="22"/>
        </w:rPr>
        <w:t>E</w:t>
      </w:r>
      <w:r w:rsidR="00945FCC">
        <w:rPr>
          <w:sz w:val="22"/>
        </w:rPr>
        <w:t xml:space="preserve">ven if </w:t>
      </w:r>
      <w:r>
        <w:rPr>
          <w:sz w:val="22"/>
        </w:rPr>
        <w:t>these expenditures were somehow saved</w:t>
      </w:r>
      <w:r w:rsidR="00945FCC">
        <w:rPr>
          <w:sz w:val="22"/>
        </w:rPr>
        <w:t>, it would not make a massive difference to the amount of taxes needed to be collected or the services the government could provide.</w:t>
      </w:r>
    </w:p>
    <w:p w:rsidR="00163D0C" w:rsidRDefault="00163D0C" w:rsidP="00991394">
      <w:pPr>
        <w:rPr>
          <w:sz w:val="22"/>
        </w:rPr>
      </w:pPr>
    </w:p>
    <w:p w:rsidR="003F393F" w:rsidRDefault="00ED0B56" w:rsidP="003F393F">
      <w:pPr>
        <w:pStyle w:val="Heading3"/>
        <w:jc w:val="center"/>
      </w:pPr>
      <w:r w:rsidRPr="009E4036">
        <w:t>Migh</w:t>
      </w:r>
      <w:r w:rsidR="003F393F">
        <w:t>t be time for a reality check!</w:t>
      </w:r>
    </w:p>
    <w:p w:rsidR="000820FD" w:rsidRPr="00A425AA" w:rsidRDefault="003F393F" w:rsidP="003F393F">
      <w:pPr>
        <w:pStyle w:val="Heading3"/>
        <w:jc w:val="center"/>
        <w:rPr>
          <w:sz w:val="24"/>
          <w:szCs w:val="24"/>
        </w:rPr>
      </w:pPr>
      <w:r w:rsidRPr="00A425AA">
        <w:rPr>
          <w:sz w:val="24"/>
          <w:szCs w:val="24"/>
        </w:rPr>
        <w:t>And m</w:t>
      </w:r>
      <w:r w:rsidR="00ED0B56" w:rsidRPr="00A425AA">
        <w:rPr>
          <w:sz w:val="24"/>
          <w:szCs w:val="24"/>
        </w:rPr>
        <w:t xml:space="preserve">aybe we need to </w:t>
      </w:r>
      <w:r w:rsidRPr="00A425AA">
        <w:rPr>
          <w:sz w:val="24"/>
          <w:szCs w:val="24"/>
        </w:rPr>
        <w:t xml:space="preserve">be </w:t>
      </w:r>
      <w:r w:rsidR="000E13F1">
        <w:rPr>
          <w:sz w:val="24"/>
          <w:szCs w:val="24"/>
        </w:rPr>
        <w:t>ask</w:t>
      </w:r>
      <w:r w:rsidRPr="00A425AA">
        <w:rPr>
          <w:sz w:val="24"/>
          <w:szCs w:val="24"/>
        </w:rPr>
        <w:t xml:space="preserve"> </w:t>
      </w:r>
      <w:r w:rsidR="00A425AA" w:rsidRPr="00A425AA">
        <w:rPr>
          <w:sz w:val="24"/>
          <w:szCs w:val="24"/>
        </w:rPr>
        <w:t xml:space="preserve">whether </w:t>
      </w:r>
      <w:r w:rsidRPr="00A425AA">
        <w:rPr>
          <w:sz w:val="24"/>
          <w:szCs w:val="24"/>
        </w:rPr>
        <w:t>our tax system</w:t>
      </w:r>
      <w:r w:rsidR="00A425AA" w:rsidRPr="00A425AA">
        <w:rPr>
          <w:sz w:val="24"/>
          <w:szCs w:val="24"/>
        </w:rPr>
        <w:t xml:space="preserve"> raises enough money to meet our expectations of services</w:t>
      </w:r>
    </w:p>
    <w:p w:rsidR="003F393F" w:rsidRDefault="003F393F" w:rsidP="00121EAF">
      <w:pPr>
        <w:jc w:val="center"/>
        <w:rPr>
          <w:b/>
          <w:sz w:val="22"/>
        </w:rPr>
      </w:pPr>
    </w:p>
    <w:p w:rsidR="002A366F" w:rsidRPr="009E4036" w:rsidRDefault="003F393F" w:rsidP="003F393F">
      <w:pPr>
        <w:jc w:val="center"/>
        <w:rPr>
          <w:sz w:val="22"/>
        </w:rPr>
      </w:pPr>
      <w:r w:rsidRPr="00763416">
        <w:rPr>
          <w:noProof/>
          <w:sz w:val="22"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7DD931" wp14:editId="4601E393">
                <wp:simplePos x="0" y="0"/>
                <wp:positionH relativeFrom="margin">
                  <wp:posOffset>17253</wp:posOffset>
                </wp:positionH>
                <wp:positionV relativeFrom="paragraph">
                  <wp:posOffset>182077</wp:posOffset>
                </wp:positionV>
                <wp:extent cx="5693434" cy="1475117"/>
                <wp:effectExtent l="0" t="0" r="2159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34" cy="14751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416" w:rsidRPr="009B720C" w:rsidRDefault="00763416" w:rsidP="0076341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720C">
                              <w:rPr>
                                <w:b/>
                                <w:sz w:val="20"/>
                                <w:szCs w:val="20"/>
                              </w:rPr>
                              <w:t>Technical Notes:</w:t>
                            </w:r>
                          </w:p>
                          <w:p w:rsidR="00763416" w:rsidRPr="009B720C" w:rsidRDefault="00763416" w:rsidP="00763416">
                            <w:pPr>
                              <w:rPr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9B720C">
                              <w:rPr>
                                <w:sz w:val="20"/>
                                <w:szCs w:val="20"/>
                              </w:rPr>
                              <w:t xml:space="preserve">South Australian data is drawn from the Govt of South Australia’s, </w:t>
                            </w:r>
                            <w:r w:rsidRPr="009B720C">
                              <w:rPr>
                                <w:i/>
                                <w:sz w:val="20"/>
                                <w:szCs w:val="20"/>
                                <w:lang w:eastAsia="en-AU"/>
                              </w:rPr>
                              <w:t xml:space="preserve">2016-2017 Budget Paper 3- Budget Statement. </w:t>
                            </w:r>
                            <w:r w:rsidRPr="009B720C">
                              <w:rPr>
                                <w:sz w:val="20"/>
                                <w:szCs w:val="20"/>
                                <w:lang w:eastAsia="en-AU"/>
                              </w:rPr>
                              <w:t xml:space="preserve">The comparative state analysis is from the Uniform Presentation Framework data in the latest Budget Papers of each state or territory government. Where 2016-17 estimates results are available (from a 2017-18 budget), these have been used – otherwise 2016-17 budget figures have been used. All </w:t>
                            </w:r>
                            <w:r w:rsidR="00A93E86">
                              <w:rPr>
                                <w:sz w:val="20"/>
                                <w:szCs w:val="20"/>
                                <w:lang w:eastAsia="en-AU"/>
                              </w:rPr>
                              <w:t xml:space="preserve">comparative </w:t>
                            </w:r>
                            <w:r w:rsidRPr="009B720C">
                              <w:rPr>
                                <w:sz w:val="20"/>
                                <w:szCs w:val="20"/>
                                <w:lang w:eastAsia="en-AU"/>
                              </w:rPr>
                              <w:t>data is “general government expenditure” and does not include capital expenditure.</w:t>
                            </w:r>
                          </w:p>
                          <w:p w:rsidR="00763416" w:rsidRPr="009B720C" w:rsidRDefault="00763416" w:rsidP="00763416">
                            <w:pPr>
                              <w:rPr>
                                <w:sz w:val="20"/>
                                <w:szCs w:val="20"/>
                                <w:lang w:eastAsia="en-AU"/>
                              </w:rPr>
                            </w:pPr>
                          </w:p>
                          <w:p w:rsidR="00763416" w:rsidRPr="009B720C" w:rsidRDefault="00763416" w:rsidP="00763416">
                            <w:pPr>
                              <w:rPr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9B720C">
                              <w:rPr>
                                <w:sz w:val="20"/>
                                <w:szCs w:val="20"/>
                                <w:lang w:eastAsia="en-AU"/>
                              </w:rPr>
                              <w:t xml:space="preserve">Public opinion survey data is from a survey by Mint Research commissioned by SACOSS. See </w:t>
                            </w:r>
                            <w:r w:rsidRPr="009B720C">
                              <w:rPr>
                                <w:i/>
                                <w:sz w:val="20"/>
                                <w:szCs w:val="20"/>
                                <w:lang w:eastAsia="en-AU"/>
                              </w:rPr>
                              <w:t>Reality</w:t>
                            </w:r>
                            <w:r w:rsidR="00663F68">
                              <w:rPr>
                                <w:i/>
                                <w:sz w:val="20"/>
                                <w:szCs w:val="20"/>
                                <w:lang w:eastAsia="en-AU"/>
                              </w:rPr>
                              <w:t xml:space="preserve"> Check: Public Perceptions of South Australian</w:t>
                            </w:r>
                            <w:r w:rsidRPr="009B720C">
                              <w:rPr>
                                <w:i/>
                                <w:sz w:val="20"/>
                                <w:szCs w:val="20"/>
                                <w:lang w:eastAsia="en-AU"/>
                              </w:rPr>
                              <w:t xml:space="preserve"> Government Expenditure and Waste</w:t>
                            </w:r>
                            <w:r w:rsidRPr="009B720C">
                              <w:rPr>
                                <w:sz w:val="20"/>
                                <w:szCs w:val="20"/>
                                <w:lang w:eastAsia="en-AU"/>
                              </w:rPr>
                              <w:t>.</w:t>
                            </w:r>
                          </w:p>
                          <w:p w:rsidR="00763416" w:rsidRDefault="00763416" w:rsidP="007634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5pt;margin-top:14.35pt;width:448.3pt;height:116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">
                <v:textbox>
                  <w:txbxContent>
                    <w:p w:rsidR="00763416" w:rsidRPr="009B720C" w:rsidRDefault="00763416" w:rsidP="0076341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B720C">
                        <w:rPr>
                          <w:b/>
                          <w:sz w:val="20"/>
                          <w:szCs w:val="20"/>
                        </w:rPr>
                        <w:t>Technical Notes:</w:t>
                      </w:r>
                    </w:p>
                    <w:p w:rsidR="00763416" w:rsidRPr="009B720C" w:rsidRDefault="00763416" w:rsidP="00763416">
                      <w:pPr>
                        <w:rPr>
                          <w:sz w:val="20"/>
                          <w:szCs w:val="20"/>
                          <w:lang w:eastAsia="en-AU"/>
                        </w:rPr>
                      </w:pPr>
                      <w:r w:rsidRPr="009B720C">
                        <w:rPr>
                          <w:sz w:val="20"/>
                          <w:szCs w:val="20"/>
                        </w:rPr>
                        <w:t xml:space="preserve">South Australian data is drawn from the </w:t>
                      </w:r>
                      <w:proofErr w:type="spellStart"/>
                      <w:r w:rsidRPr="009B720C">
                        <w:rPr>
                          <w:sz w:val="20"/>
                          <w:szCs w:val="20"/>
                        </w:rPr>
                        <w:t>Govt</w:t>
                      </w:r>
                      <w:proofErr w:type="spellEnd"/>
                      <w:r w:rsidRPr="009B720C">
                        <w:rPr>
                          <w:sz w:val="20"/>
                          <w:szCs w:val="20"/>
                        </w:rPr>
                        <w:t xml:space="preserve"> of South Australia’s, </w:t>
                      </w:r>
                      <w:r w:rsidRPr="009B720C">
                        <w:rPr>
                          <w:i/>
                          <w:sz w:val="20"/>
                          <w:szCs w:val="20"/>
                          <w:lang w:eastAsia="en-AU"/>
                        </w:rPr>
                        <w:t xml:space="preserve">2016-2017 Budget Paper 3- Budget Statement. </w:t>
                      </w:r>
                      <w:r w:rsidRPr="009B720C">
                        <w:rPr>
                          <w:sz w:val="20"/>
                          <w:szCs w:val="20"/>
                          <w:lang w:eastAsia="en-AU"/>
                        </w:rPr>
                        <w:t xml:space="preserve">The comparative state analysis is from the Uniform Presentation Framework data in the latest Budget Papers of each state or territory government. Where 2016-17 estimates results are available (from a 2017-18 budget), these have been used – otherwise 2016-17 budget figures have been used. All </w:t>
                      </w:r>
                      <w:r w:rsidR="00A93E86">
                        <w:rPr>
                          <w:sz w:val="20"/>
                          <w:szCs w:val="20"/>
                          <w:lang w:eastAsia="en-AU"/>
                        </w:rPr>
                        <w:t xml:space="preserve">comparative </w:t>
                      </w:r>
                      <w:r w:rsidRPr="009B720C">
                        <w:rPr>
                          <w:sz w:val="20"/>
                          <w:szCs w:val="20"/>
                          <w:lang w:eastAsia="en-AU"/>
                        </w:rPr>
                        <w:t>data is “general government expenditure” and does not include capital expenditure.</w:t>
                      </w:r>
                    </w:p>
                    <w:p w:rsidR="00763416" w:rsidRPr="009B720C" w:rsidRDefault="00763416" w:rsidP="00763416">
                      <w:pPr>
                        <w:rPr>
                          <w:sz w:val="20"/>
                          <w:szCs w:val="20"/>
                          <w:lang w:eastAsia="en-AU"/>
                        </w:rPr>
                      </w:pPr>
                    </w:p>
                    <w:p w:rsidR="00763416" w:rsidRPr="009B720C" w:rsidRDefault="00763416" w:rsidP="00763416">
                      <w:pPr>
                        <w:rPr>
                          <w:sz w:val="20"/>
                          <w:szCs w:val="20"/>
                          <w:lang w:eastAsia="en-AU"/>
                        </w:rPr>
                      </w:pPr>
                      <w:r w:rsidRPr="009B720C">
                        <w:rPr>
                          <w:sz w:val="20"/>
                          <w:szCs w:val="20"/>
                          <w:lang w:eastAsia="en-AU"/>
                        </w:rPr>
                        <w:t xml:space="preserve">Public opinion survey data is from a survey by Mint Research commissioned by SACOSS. See </w:t>
                      </w:r>
                      <w:r w:rsidRPr="009B720C">
                        <w:rPr>
                          <w:i/>
                          <w:sz w:val="20"/>
                          <w:szCs w:val="20"/>
                          <w:lang w:eastAsia="en-AU"/>
                        </w:rPr>
                        <w:t>Reality</w:t>
                      </w:r>
                      <w:r w:rsidR="00663F68">
                        <w:rPr>
                          <w:i/>
                          <w:sz w:val="20"/>
                          <w:szCs w:val="20"/>
                          <w:lang w:eastAsia="en-AU"/>
                        </w:rPr>
                        <w:t xml:space="preserve"> Check: Public Perceptions of South Australian</w:t>
                      </w:r>
                      <w:bookmarkStart w:id="1" w:name="_GoBack"/>
                      <w:bookmarkEnd w:id="1"/>
                      <w:r w:rsidRPr="009B720C">
                        <w:rPr>
                          <w:i/>
                          <w:sz w:val="20"/>
                          <w:szCs w:val="20"/>
                          <w:lang w:eastAsia="en-AU"/>
                        </w:rPr>
                        <w:t xml:space="preserve"> Government Expenditure and Waste</w:t>
                      </w:r>
                      <w:r w:rsidRPr="009B720C">
                        <w:rPr>
                          <w:sz w:val="20"/>
                          <w:szCs w:val="20"/>
                          <w:lang w:eastAsia="en-AU"/>
                        </w:rPr>
                        <w:t>.</w:t>
                      </w:r>
                    </w:p>
                    <w:p w:rsidR="00763416" w:rsidRDefault="00763416" w:rsidP="00763416"/>
                  </w:txbxContent>
                </v:textbox>
                <w10:wrap type="square" anchorx="margin"/>
              </v:shape>
            </w:pict>
          </mc:Fallback>
        </mc:AlternateContent>
      </w:r>
    </w:p>
    <w:p w:rsidR="009B720C" w:rsidRPr="009E4036" w:rsidRDefault="003F393F" w:rsidP="00991394">
      <w:pPr>
        <w:rPr>
          <w:sz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844FC6" wp14:editId="5BF542CF">
                <wp:simplePos x="0" y="0"/>
                <wp:positionH relativeFrom="column">
                  <wp:posOffset>17253</wp:posOffset>
                </wp:positionH>
                <wp:positionV relativeFrom="paragraph">
                  <wp:posOffset>92243</wp:posOffset>
                </wp:positionV>
                <wp:extent cx="5687060" cy="744855"/>
                <wp:effectExtent l="0" t="0" r="2794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060" cy="7448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93F" w:rsidRPr="00403361" w:rsidRDefault="003F393F" w:rsidP="003F393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SACOSS is calling for further reform of state taxes to ensure a fair and adequate tax system to fund vital services</w:t>
                            </w:r>
                            <w:r w:rsidRPr="00403361">
                              <w:rPr>
                                <w:b/>
                                <w:color w:val="FFFFFF" w:themeColor="background1"/>
                              </w:rPr>
                              <w:t>.</w:t>
                            </w:r>
                          </w:p>
                          <w:p w:rsidR="003F393F" w:rsidRPr="00AE04EC" w:rsidRDefault="003F393F" w:rsidP="003F393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03361">
                              <w:rPr>
                                <w:b/>
                                <w:color w:val="FFFFFF" w:themeColor="background1"/>
                              </w:rPr>
                              <w:t>More information</w:t>
                            </w:r>
                            <w:r w:rsidRPr="00DE3357">
                              <w:rPr>
                                <w:b/>
                                <w:color w:val="FFFFFF" w:themeColor="background1"/>
                              </w:rPr>
                              <w:t xml:space="preserve">: </w:t>
                            </w:r>
                            <w:hyperlink r:id="rId9" w:history="1">
                              <w:r w:rsidRPr="00DE3357">
                                <w:rPr>
                                  <w:rStyle w:val="Hyperlink"/>
                                  <w:b/>
                                  <w:color w:val="FFFFFF" w:themeColor="background1"/>
                                </w:rPr>
                                <w:t>https://www.sacoss.org.au/fair-and-adequate-tax-system</w:t>
                              </w:r>
                            </w:hyperlink>
                            <w:r w:rsidRPr="00DE3357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3F393F" w:rsidRDefault="003F393F" w:rsidP="003F39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35pt;margin-top:7.25pt;width:447.8pt;height:5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" fillcolor="black [3213]" strokecolor="black [3200]" strokeweight="1pt">
                <v:textbox>
                  <w:txbxContent>
                    <w:p w:rsidR="003F393F" w:rsidRPr="00403361" w:rsidRDefault="003F393F" w:rsidP="003F393F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SACOSS is calling for 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further reform of state taxes </w:t>
                      </w:r>
                      <w:r>
                        <w:rPr>
                          <w:b/>
                          <w:color w:val="FFFFFF" w:themeColor="background1"/>
                        </w:rPr>
                        <w:t>to ensure a fair and adequate tax system to fund vital services</w:t>
                      </w:r>
                      <w:r w:rsidRPr="00403361">
                        <w:rPr>
                          <w:b/>
                          <w:color w:val="FFFFFF" w:themeColor="background1"/>
                        </w:rPr>
                        <w:t>.</w:t>
                      </w:r>
                    </w:p>
                    <w:p w:rsidR="003F393F" w:rsidRPr="00AE04EC" w:rsidRDefault="003F393F" w:rsidP="003F393F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403361">
                        <w:rPr>
                          <w:b/>
                          <w:color w:val="FFFFFF" w:themeColor="background1"/>
                        </w:rPr>
                        <w:t>More information</w:t>
                      </w:r>
                      <w:r w:rsidRPr="00DE3357">
                        <w:rPr>
                          <w:b/>
                          <w:color w:val="FFFFFF" w:themeColor="background1"/>
                        </w:rPr>
                        <w:t xml:space="preserve">: </w:t>
                      </w:r>
                      <w:hyperlink r:id="rId11" w:history="1">
                        <w:r w:rsidRPr="00DE3357">
                          <w:rPr>
                            <w:rStyle w:val="Hyperlink"/>
                            <w:b/>
                            <w:color w:val="FFFFFF" w:themeColor="background1"/>
                          </w:rPr>
                          <w:t>https://www.sacoss.org.au/fair-and-adequate-tax-system</w:t>
                        </w:r>
                      </w:hyperlink>
                      <w:r w:rsidRPr="00DE3357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</w:p>
                    <w:p w:rsidR="003F393F" w:rsidRDefault="003F393F" w:rsidP="003F393F"/>
                  </w:txbxContent>
                </v:textbox>
              </v:shape>
            </w:pict>
          </mc:Fallback>
        </mc:AlternateContent>
      </w:r>
    </w:p>
    <w:sectPr w:rsidR="009B720C" w:rsidRPr="009E4036" w:rsidSect="00E42C4E"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394" w:rsidRDefault="00991394" w:rsidP="00991394">
      <w:r>
        <w:separator/>
      </w:r>
    </w:p>
  </w:endnote>
  <w:endnote w:type="continuationSeparator" w:id="0">
    <w:p w:rsidR="00991394" w:rsidRDefault="00991394" w:rsidP="0099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394" w:rsidRDefault="00991394" w:rsidP="00991394">
      <w:r>
        <w:separator/>
      </w:r>
    </w:p>
  </w:footnote>
  <w:footnote w:type="continuationSeparator" w:id="0">
    <w:p w:rsidR="00991394" w:rsidRDefault="00991394" w:rsidP="00991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C4E" w:rsidRDefault="003F393F">
    <w:pPr>
      <w:pStyle w:val="Header"/>
    </w:pPr>
    <w:r>
      <w:rPr>
        <w:noProof/>
        <w:lang w:eastAsia="en-AU"/>
      </w:rPr>
      <w:drawing>
        <wp:inline distT="0" distB="0" distL="0" distR="0">
          <wp:extent cx="5731510" cy="1490345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t Sheet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490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393F" w:rsidRDefault="003F39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51431"/>
    <w:multiLevelType w:val="hybridMultilevel"/>
    <w:tmpl w:val="AB764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94"/>
    <w:rsid w:val="000820FD"/>
    <w:rsid w:val="00095482"/>
    <w:rsid w:val="000E13F1"/>
    <w:rsid w:val="000F6393"/>
    <w:rsid w:val="00121EAF"/>
    <w:rsid w:val="00163D0C"/>
    <w:rsid w:val="002A366F"/>
    <w:rsid w:val="002A3DD9"/>
    <w:rsid w:val="002D576D"/>
    <w:rsid w:val="00303616"/>
    <w:rsid w:val="003F393F"/>
    <w:rsid w:val="00432322"/>
    <w:rsid w:val="00482024"/>
    <w:rsid w:val="00497951"/>
    <w:rsid w:val="00533A69"/>
    <w:rsid w:val="00564422"/>
    <w:rsid w:val="005C3B46"/>
    <w:rsid w:val="005C6BD0"/>
    <w:rsid w:val="00630023"/>
    <w:rsid w:val="00663F68"/>
    <w:rsid w:val="00742A1C"/>
    <w:rsid w:val="00763416"/>
    <w:rsid w:val="00826908"/>
    <w:rsid w:val="008451DA"/>
    <w:rsid w:val="008762DD"/>
    <w:rsid w:val="008A3081"/>
    <w:rsid w:val="008C309D"/>
    <w:rsid w:val="00945FCC"/>
    <w:rsid w:val="00991394"/>
    <w:rsid w:val="009B720C"/>
    <w:rsid w:val="009E4036"/>
    <w:rsid w:val="00A425AA"/>
    <w:rsid w:val="00A52DCF"/>
    <w:rsid w:val="00A93E86"/>
    <w:rsid w:val="00AB6FDC"/>
    <w:rsid w:val="00AC3FF8"/>
    <w:rsid w:val="00BC4A56"/>
    <w:rsid w:val="00DE1952"/>
    <w:rsid w:val="00E42C4E"/>
    <w:rsid w:val="00EA1514"/>
    <w:rsid w:val="00EA4489"/>
    <w:rsid w:val="00EC0596"/>
    <w:rsid w:val="00EC3763"/>
    <w:rsid w:val="00ED0B56"/>
    <w:rsid w:val="00F0157D"/>
    <w:rsid w:val="00F4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0279A09-649D-4473-A974-D8FBFCC7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D576D"/>
    <w:pPr>
      <w:spacing w:after="0" w:line="240" w:lineRule="auto"/>
    </w:pPr>
    <w:rPr>
      <w:rFonts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76D"/>
    <w:pPr>
      <w:keepNext/>
      <w:keepLines/>
      <w:outlineLvl w:val="0"/>
    </w:pPr>
    <w:rPr>
      <w:rFonts w:eastAsiaTheme="minorHAnsi" w:cstheme="minorBidi"/>
      <w:b/>
      <w:bCs/>
      <w:color w:val="C22C4A"/>
      <w:sz w:val="36"/>
      <w:szCs w:val="28"/>
    </w:rPr>
  </w:style>
  <w:style w:type="paragraph" w:styleId="Heading2">
    <w:name w:val="heading 2"/>
    <w:basedOn w:val="Heading3"/>
    <w:next w:val="Normal"/>
    <w:link w:val="Heading2Char"/>
    <w:autoRedefine/>
    <w:uiPriority w:val="9"/>
    <w:unhideWhenUsed/>
    <w:qFormat/>
    <w:rsid w:val="002D576D"/>
    <w:pPr>
      <w:outlineLvl w:val="1"/>
    </w:pPr>
    <w:rPr>
      <w:b w:val="0"/>
      <w:bCs w:val="0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576D"/>
    <w:pPr>
      <w:keepNext/>
      <w:keepLines/>
      <w:outlineLvl w:val="2"/>
    </w:pPr>
    <w:rPr>
      <w:rFonts w:eastAsiaTheme="minorHAnsi"/>
      <w:b/>
      <w:bCs/>
      <w:color w:val="C22C4A"/>
      <w:sz w:val="28"/>
      <w:szCs w:val="28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576D"/>
    <w:pPr>
      <w:keepNext/>
      <w:outlineLvl w:val="3"/>
    </w:pPr>
    <w:rPr>
      <w:rFonts w:eastAsiaTheme="minorHAnsi"/>
      <w:b/>
      <w:bCs/>
      <w:szCs w:val="28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576D"/>
    <w:pPr>
      <w:outlineLvl w:val="4"/>
    </w:pPr>
    <w:rPr>
      <w:rFonts w:eastAsiaTheme="minorHAnsi"/>
      <w:b/>
      <w:bCs/>
      <w:i/>
      <w:iCs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D576D"/>
    <w:pPr>
      <w:outlineLvl w:val="5"/>
    </w:pPr>
    <w:rPr>
      <w:rFonts w:ascii="Arial" w:eastAsiaTheme="minorEastAsia" w:hAnsi="Arial" w:cstheme="minorBidi"/>
      <w:bCs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76D"/>
    <w:rPr>
      <w:b/>
      <w:bCs/>
      <w:color w:val="C22C4A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576D"/>
    <w:rPr>
      <w:rFonts w:cs="Arial"/>
      <w:b/>
      <w:bCs/>
      <w:color w:val="C22C4A"/>
      <w:sz w:val="32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2D576D"/>
    <w:rPr>
      <w:rFonts w:cs="Arial"/>
      <w:b/>
      <w:bCs/>
      <w:color w:val="C22C4A"/>
      <w:sz w:val="28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2D576D"/>
    <w:rPr>
      <w:rFonts w:cs="Arial"/>
      <w:b/>
      <w:bCs/>
      <w:sz w:val="24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2D576D"/>
    <w:rPr>
      <w:rFonts w:cs="Arial"/>
      <w:b/>
      <w:bCs/>
      <w:i/>
      <w:iCs/>
      <w:sz w:val="24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2D576D"/>
    <w:rPr>
      <w:rFonts w:ascii="Arial" w:eastAsiaTheme="minorEastAsia" w:hAnsi="Arial"/>
      <w:bCs/>
      <w:i/>
    </w:rPr>
  </w:style>
  <w:style w:type="paragraph" w:styleId="ListParagraph">
    <w:name w:val="List Paragraph"/>
    <w:basedOn w:val="Normal"/>
    <w:uiPriority w:val="34"/>
    <w:qFormat/>
    <w:rsid w:val="002D576D"/>
    <w:pPr>
      <w:ind w:left="720"/>
      <w:contextualSpacing/>
    </w:pPr>
  </w:style>
  <w:style w:type="paragraph" w:styleId="Caption">
    <w:name w:val="caption"/>
    <w:basedOn w:val="Normal"/>
    <w:next w:val="Normal"/>
    <w:autoRedefine/>
    <w:uiPriority w:val="35"/>
    <w:unhideWhenUsed/>
    <w:qFormat/>
    <w:rsid w:val="002D576D"/>
    <w:pPr>
      <w:spacing w:after="200"/>
      <w:jc w:val="center"/>
    </w:pPr>
    <w:rPr>
      <w:rFonts w:eastAsia="SimSun"/>
      <w:b/>
      <w:bCs/>
      <w:i/>
      <w:szCs w:val="18"/>
    </w:rPr>
  </w:style>
  <w:style w:type="paragraph" w:styleId="FootnoteText">
    <w:name w:val="footnote text"/>
    <w:basedOn w:val="Normal"/>
    <w:link w:val="FootnoteTextChar"/>
    <w:uiPriority w:val="99"/>
    <w:rsid w:val="002D576D"/>
    <w:pPr>
      <w:spacing w:after="120"/>
      <w:ind w:left="720" w:hanging="720"/>
    </w:pPr>
    <w:rPr>
      <w:rFonts w:ascii="Calibri" w:eastAsiaTheme="minorHAnsi" w:hAnsi="Calibri" w:cstheme="minorBidi"/>
      <w:sz w:val="22"/>
      <w:lang w:val="en-US"/>
    </w:rPr>
  </w:style>
  <w:style w:type="character" w:customStyle="1" w:styleId="FootnoteTextChar">
    <w:name w:val="Footnote Text Char"/>
    <w:link w:val="FootnoteText"/>
    <w:uiPriority w:val="99"/>
    <w:rsid w:val="002D576D"/>
    <w:rPr>
      <w:rFonts w:ascii="Calibri" w:hAnsi="Calibri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2D576D"/>
    <w:pPr>
      <w:ind w:left="720"/>
    </w:pPr>
    <w:rPr>
      <w:rFonts w:eastAsia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D576D"/>
    <w:rPr>
      <w:rFonts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13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394"/>
    <w:rPr>
      <w:rFonts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913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394"/>
    <w:rPr>
      <w:rFonts w:cs="Arial"/>
      <w:sz w:val="24"/>
    </w:rPr>
  </w:style>
  <w:style w:type="table" w:styleId="TableGrid">
    <w:name w:val="Table Grid"/>
    <w:basedOn w:val="TableNormal"/>
    <w:uiPriority w:val="39"/>
    <w:rsid w:val="00ED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3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9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39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coss.org.au/fair-and-adequate-tax-system" TargetMode="Externa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hyperlink" Target="https://www.sacoss.org.au/fair-and-adequate-tax-syste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bs2011\Data\Work%20-%20Social%20Justice%20Policy%20Issues\Tax\Tax%20Survey%20Project\Other%20Data\170504%20Budget%20Expenditure%20Share%20Data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F:\Tax%20Report\170504%20Budget%20Expenditure%20Share%20Da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327049665488853"/>
          <c:y val="4.4032543023534799E-2"/>
          <c:w val="0.75294268170920553"/>
          <c:h val="0.91562835808958787"/>
        </c:manualLayout>
      </c:layout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Snapshot!$A$56:$A$63</c:f>
              <c:strCache>
                <c:ptCount val="8"/>
                <c:pt idx="0">
                  <c:v>Public Order &amp;  Safety</c:v>
                </c:pt>
                <c:pt idx="1">
                  <c:v>Education</c:v>
                </c:pt>
                <c:pt idx="2">
                  <c:v>Health</c:v>
                </c:pt>
                <c:pt idx="3">
                  <c:v>Social Security &amp; Welfare</c:v>
                </c:pt>
                <c:pt idx="4">
                  <c:v>Housing &amp; C'ty Amenities</c:v>
                </c:pt>
                <c:pt idx="5">
                  <c:v>Rec &amp; Culture</c:v>
                </c:pt>
                <c:pt idx="6">
                  <c:v>Transport &amp;Comms</c:v>
                </c:pt>
                <c:pt idx="7">
                  <c:v>Other</c:v>
                </c:pt>
              </c:strCache>
            </c:strRef>
          </c:cat>
          <c:val>
            <c:numRef>
              <c:f>Snapshot!$E$56:$E$63</c:f>
              <c:numCache>
                <c:formatCode>0.0%</c:formatCode>
                <c:ptCount val="8"/>
                <c:pt idx="0">
                  <c:v>9.7416812609457087E-2</c:v>
                </c:pt>
                <c:pt idx="1">
                  <c:v>0.23856173380035026</c:v>
                </c:pt>
                <c:pt idx="2">
                  <c:v>0.30801225919439579</c:v>
                </c:pt>
                <c:pt idx="3">
                  <c:v>7.4704465849387044E-2</c:v>
                </c:pt>
                <c:pt idx="4">
                  <c:v>6.3758756567425565E-2</c:v>
                </c:pt>
                <c:pt idx="5">
                  <c:v>2.583187390542907E-2</c:v>
                </c:pt>
                <c:pt idx="6">
                  <c:v>9.2600700525394042E-2</c:v>
                </c:pt>
                <c:pt idx="7">
                  <c:v>9.5556042031523639E-2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4F-4CBF-B0A7-621D9772B0E0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SA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('State Comparisons'!$AC$8,'State Comparisons'!$AC$9,'State Comparisons'!$AC$10,'State Comparisons'!$AC$11,'State Comparisons'!$AC$12,'State Comparisons'!$AC$17,'State Comparisons'!$AC$18)</c:f>
              <c:strCache>
                <c:ptCount val="6"/>
                <c:pt idx="0">
                  <c:v>Public Order/Safety</c:v>
                </c:pt>
                <c:pt idx="1">
                  <c:v>Education</c:v>
                </c:pt>
                <c:pt idx="2">
                  <c:v>Health</c:v>
                </c:pt>
                <c:pt idx="3">
                  <c:v>Social Security</c:v>
                </c:pt>
                <c:pt idx="4">
                  <c:v>Housing &amp; C'ty</c:v>
                </c:pt>
                <c:pt idx="5">
                  <c:v>Transport &amp; Comms</c:v>
                </c:pt>
              </c:strCache>
              <c:extLst/>
            </c:strRef>
          </c:cat>
          <c:val>
            <c:numRef>
              <c:f>('State Comparisons'!$C$8,'State Comparisons'!$C$9,'State Comparisons'!$C$10,'State Comparisons'!$C$11,'State Comparisons'!$C$12,'State Comparisons'!$C$17,'State Comparisons'!$C$18)</c:f>
              <c:numCache>
                <c:formatCode>0.0</c:formatCode>
                <c:ptCount val="6"/>
                <c:pt idx="0">
                  <c:v>9.7284690987839415</c:v>
                </c:pt>
                <c:pt idx="1">
                  <c:v>24.232328280304291</c:v>
                </c:pt>
                <c:pt idx="2">
                  <c:v>31.195513354433896</c:v>
                </c:pt>
                <c:pt idx="3">
                  <c:v>7.9793436615025817</c:v>
                </c:pt>
                <c:pt idx="4">
                  <c:v>7.0797934366150255</c:v>
                </c:pt>
                <c:pt idx="5">
                  <c:v>6.7688378033205625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1D67-4E64-BA22-8F065C8CA649}"/>
            </c:ext>
          </c:extLst>
        </c:ser>
        <c:ser>
          <c:idx val="1"/>
          <c:order val="1"/>
          <c:tx>
            <c:v>Aust Average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('State Comparisons'!$AC$8,'State Comparisons'!$AC$9,'State Comparisons'!$AC$10,'State Comparisons'!$AC$11,'State Comparisons'!$AC$12,'State Comparisons'!$AC$17,'State Comparisons'!$AC$18)</c:f>
              <c:strCache>
                <c:ptCount val="6"/>
                <c:pt idx="0">
                  <c:v>Public Order/Safety</c:v>
                </c:pt>
                <c:pt idx="1">
                  <c:v>Education</c:v>
                </c:pt>
                <c:pt idx="2">
                  <c:v>Health</c:v>
                </c:pt>
                <c:pt idx="3">
                  <c:v>Social Security</c:v>
                </c:pt>
                <c:pt idx="4">
                  <c:v>Housing &amp; C'ty</c:v>
                </c:pt>
                <c:pt idx="5">
                  <c:v>Transport &amp; Comms</c:v>
                </c:pt>
              </c:strCache>
              <c:extLst/>
            </c:strRef>
          </c:cat>
          <c:val>
            <c:numRef>
              <c:f>('State Comparisons'!$S$8,'State Comparisons'!$S$9,'State Comparisons'!$S$10,'State Comparisons'!$S$11,'State Comparisons'!$S$12,'State Comparisons'!$S$17,'State Comparisons'!$S$18)</c:f>
              <c:numCache>
                <c:formatCode>0.0</c:formatCode>
                <c:ptCount val="6"/>
                <c:pt idx="0">
                  <c:v>10.221189495904614</c:v>
                </c:pt>
                <c:pt idx="1">
                  <c:v>23.618142646869259</c:v>
                </c:pt>
                <c:pt idx="2">
                  <c:v>28.754767461316156</c:v>
                </c:pt>
                <c:pt idx="3">
                  <c:v>7.5866727192564998</c:v>
                </c:pt>
                <c:pt idx="4">
                  <c:v>5.3824348303857468</c:v>
                </c:pt>
                <c:pt idx="5">
                  <c:v>8.2318224800070166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1D67-4E64-BA22-8F065C8CA6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2924032"/>
        <c:axId val="124502784"/>
      </c:barChart>
      <c:catAx>
        <c:axId val="122924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4502784"/>
        <c:crosses val="autoZero"/>
        <c:auto val="1"/>
        <c:lblAlgn val="ctr"/>
        <c:lblOffset val="100"/>
        <c:noMultiLvlLbl val="0"/>
      </c:catAx>
      <c:valAx>
        <c:axId val="124502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% of Govt Expenditure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2924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Ogle</dc:creator>
  <cp:keywords/>
  <dc:description/>
  <cp:lastModifiedBy>Greg Ogle</cp:lastModifiedBy>
  <cp:revision>2</cp:revision>
  <dcterms:created xsi:type="dcterms:W3CDTF">2017-05-20T06:47:00Z</dcterms:created>
  <dcterms:modified xsi:type="dcterms:W3CDTF">2017-05-20T06:47:00Z</dcterms:modified>
</cp:coreProperties>
</file>